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pPr>
      <w:r>
        <w:rPr/>
      </w:r>
    </w:p>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11" t="-83" r="-11" b="-83"/>
                    <a:stretch>
                      <a:fillRect/>
                    </a:stretch>
                  </pic:blipFill>
                  <pic:spPr bwMode="auto">
                    <a:xfrm>
                      <a:off x="0" y="0"/>
                      <a:ext cx="6080125" cy="780415"/>
                    </a:xfrm>
                    <a:prstGeom prst="rect">
                      <a:avLst/>
                    </a:prstGeom>
                  </pic:spPr>
                </pic:pic>
              </a:graphicData>
            </a:graphic>
          </wp:inline>
        </w:drawing>
      </w:r>
    </w:p>
    <w:tbl>
      <w:tblPr>
        <w:tblW w:w="9432" w:type="dxa"/>
        <w:jc w:val="left"/>
        <w:tblInd w:w="-55" w:type="dxa"/>
        <w:tblLayout w:type="fixed"/>
        <w:tblCellMar>
          <w:top w:w="0" w:type="dxa"/>
          <w:left w:w="108" w:type="dxa"/>
          <w:bottom w:w="0" w:type="dxa"/>
          <w:right w:w="108" w:type="dxa"/>
        </w:tblCellMar>
      </w:tblPr>
      <w:tblGrid>
        <w:gridCol w:w="9432"/>
      </w:tblGrid>
      <w:tr>
        <w:trPr>
          <w:trHeight w:val="132" w:hRule="atLeast"/>
        </w:trPr>
        <w:tc>
          <w:tcPr>
            <w:tcW w:w="943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3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w:t>
            </w:r>
            <w:r>
              <w:rPr>
                <w:rFonts w:cs="Palatino Linotype" w:ascii="Palatino Linotype" w:hAnsi="Palatino Linotype"/>
                <w:b/>
                <w:sz w:val="20"/>
                <w:szCs w:val="20"/>
              </w:rPr>
              <w:t>10</w:t>
            </w:r>
            <w:r>
              <w:rPr>
                <w:rFonts w:cs="Palatino Linotype" w:ascii="Palatino Linotype" w:hAnsi="Palatino Linotype"/>
                <w:b/>
                <w:sz w:val="20"/>
                <w:szCs w:val="20"/>
              </w:rPr>
              <w:t>/2026</w:t>
            </w:r>
          </w:p>
        </w:tc>
      </w:tr>
      <w:tr>
        <w:trPr>
          <w:trHeight w:val="548" w:hRule="atLeast"/>
        </w:trPr>
        <w:tc>
          <w:tcPr>
            <w:tcW w:w="943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13</w:t>
      </w:r>
      <w:r>
        <w:rPr>
          <w:rFonts w:cs="Palatino Linotype" w:ascii="Palatino Linotype" w:hAnsi="Palatino Linotype"/>
          <w:sz w:val="20"/>
          <w:szCs w:val="20"/>
        </w:rPr>
        <w:t xml:space="preserve"> </w:t>
      </w:r>
      <w:r>
        <w:rPr>
          <w:rFonts w:cs="Palatino Linotype" w:ascii="Palatino Linotype" w:hAnsi="Palatino Linotype"/>
          <w:bCs/>
          <w:sz w:val="20"/>
          <w:szCs w:val="20"/>
        </w:rPr>
        <w:t>rozporządzenia Parlamentu Europejskiego i Rady (UE) nr 2016/679 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w:t>
        <w:tab/>
        <w:t>Administrator danych osobowych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ListParagraph"/>
        <w:keepNext w:val="true"/>
        <w:spacing w:lineRule="atLeast" w:line="100" w:before="0" w:after="0"/>
        <w:ind w:hanging="0" w:left="568" w:right="0"/>
        <w:jc w:val="both"/>
        <w:rPr/>
      </w:pPr>
      <w:r>
        <w:rPr>
          <w:rFonts w:cs="Palatino Linotype" w:ascii="Palatino Linotype" w:hAnsi="Palatino Linotype"/>
          <w:sz w:val="20"/>
          <w:szCs w:val="20"/>
        </w:rPr>
        <w:t xml:space="preserve">Przetwarzanie Pani/Pana danych osobowych ma na </w:t>
      </w:r>
      <w:bookmarkStart w:id="0" w:name="_Hlk513749198"/>
      <w:r>
        <w:rPr>
          <w:rFonts w:cs="Palatino Linotype" w:ascii="Palatino Linotype" w:hAnsi="Palatino Linotype"/>
          <w:sz w:val="20"/>
          <w:szCs w:val="20"/>
        </w:rPr>
        <w:t>celu:</w:t>
      </w:r>
    </w:p>
    <w:p>
      <w:pPr>
        <w:pStyle w:val="ListParagraph"/>
        <w:numPr>
          <w:ilvl w:val="0"/>
          <w:numId w:val="1"/>
        </w:numPr>
        <w:shd w:val="clear" w:fill="FFFFFF"/>
        <w:spacing w:lineRule="atLeast" w:line="100" w:before="0" w:after="0"/>
        <w:ind w:hanging="360" w:left="928" w:right="0"/>
        <w:jc w:val="both"/>
        <w:rPr/>
      </w:pPr>
      <w:r>
        <w:rPr>
          <w:rFonts w:cs="Palatino Linotype" w:ascii="Palatino Linotype" w:hAnsi="Palatino Linotype"/>
          <w:sz w:val="20"/>
          <w:szCs w:val="20"/>
        </w:rPr>
        <w:t>przeprowadzenie i rozstrzygnięcie postępowania o udzielenie zamówienia publicznego, którego przedmiotem jest:</w:t>
      </w:r>
      <w:r>
        <w:rPr>
          <w:rFonts w:cs="Palatino Linotype" w:ascii="Palatino Linotype" w:hAnsi="Palatino Linotype"/>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w:t>
      </w:r>
      <w:r>
        <w:rPr>
          <w:rFonts w:eastAsia="Lato-Bold" w:cs="Palatino Linotype" w:ascii="Palatino Linotype" w:hAnsi="Palatino Linotype"/>
          <w:color w:val="000000"/>
          <w:sz w:val="20"/>
          <w:szCs w:val="20"/>
          <w:shd w:fill="FFFFFF" w:val="clear"/>
        </w:rPr>
        <w:t xml:space="preserve">ze środków Europejskiego Funduszu Społecznego Plus w ramach programu Fundusze Europejskie dla Rozwoju Społecznego 2021-2027, </w:t>
      </w:r>
      <w:r>
        <w:rPr>
          <w:rFonts w:cs="Palatino Linotype" w:ascii="Palatino Linotype" w:hAnsi="Palatino Linotype"/>
          <w:sz w:val="20"/>
          <w:szCs w:val="20"/>
          <w:shd w:fill="FFFFFF" w:val="clear"/>
        </w:rPr>
        <w:t xml:space="preserve">nr ref. </w:t>
      </w:r>
      <w:r>
        <w:rPr>
          <w:rFonts w:cs="Palatino Linotype" w:ascii="Palatino Linotype" w:hAnsi="Palatino Linotype"/>
          <w:b w:val="false"/>
          <w:bCs w:val="false"/>
          <w:sz w:val="20"/>
          <w:szCs w:val="20"/>
          <w:shd w:fill="FFFFFF" w:val="clear"/>
        </w:rPr>
        <w:t>SPZOZ/FERS 01.13/</w:t>
      </w:r>
      <w:r>
        <w:rPr>
          <w:rFonts w:cs="Palatino Linotype" w:ascii="Palatino Linotype" w:hAnsi="Palatino Linotype"/>
          <w:b w:val="false"/>
          <w:bCs w:val="false"/>
          <w:sz w:val="20"/>
          <w:szCs w:val="20"/>
          <w:shd w:fill="FFFFFF" w:val="clear"/>
        </w:rPr>
        <w:t>10</w:t>
      </w:r>
      <w:r>
        <w:rPr>
          <w:rFonts w:cs="Palatino Linotype" w:ascii="Palatino Linotype" w:hAnsi="Palatino Linotype"/>
          <w:b w:val="false"/>
          <w:bCs w:val="false"/>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ListParagraph"/>
        <w:numPr>
          <w:ilvl w:val="0"/>
          <w:numId w:val="1"/>
        </w:numPr>
        <w:spacing w:lineRule="atLeast" w:line="100" w:before="0" w:after="0"/>
        <w:ind w:hanging="360" w:left="928" w:right="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b w:val="false"/>
          <w:bCs w:val="false"/>
          <w:sz w:val="20"/>
          <w:szCs w:val="20"/>
        </w:rPr>
        <w:t xml:space="preserve">przygotowanie i przeprowadzenie zajęć dydaktycznych w ramach szkolenia specjalizacyjnego – </w:t>
      </w:r>
      <w:r>
        <w:rPr>
          <w:rFonts w:cs="Palatino Linotype" w:ascii="Palatino Linotype" w:hAnsi="Palatino Linotype"/>
          <w:sz w:val="20"/>
          <w:szCs w:val="20"/>
        </w:rPr>
        <w:t>podstawa z art. 6 ust. 1 lit. c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cs="Palatino Linotype" w:ascii="Palatino Linotype" w:hAnsi="Palatino Linotype"/>
          <w:sz w:val="20"/>
          <w:szCs w:val="20"/>
        </w:rPr>
        <w:t>„</w:t>
      </w:r>
      <w:r>
        <w:rPr>
          <w:rFonts w:cs="Palatino Linotype" w:ascii="Palatino Linotype" w:hAnsi="Palatino Linotype"/>
          <w:sz w:val="20"/>
          <w:szCs w:val="20"/>
          <w:shd w:fill="FFFFFF" w:val="clear"/>
        </w:rPr>
        <w:t>Na ratunek – kadry DIM</w:t>
      </w:r>
      <w:r>
        <w:rPr>
          <w:rFonts w:eastAsia="Lato-Bold" w:cs="Palatino Linotype" w:ascii="Palatino Linotype" w:hAnsi="Palatino Linotype"/>
          <w:color w:val="000000"/>
          <w:sz w:val="20"/>
          <w:szCs w:val="20"/>
          <w:shd w:fill="FFFFFF" w:val="clear"/>
        </w:rPr>
        <w:t>”, współfinansowanego przez Unię Europejską ze środków Europejskiego Funduszu Społecznego Plus w ramach Programu Fundusze Europejskie dla Rozwoju Społecznego 2021-2027</w:t>
      </w:r>
      <w:r>
        <w:rPr>
          <w:rFonts w:cs="Palatino Linotype" w:ascii="Palatino Linotype" w:hAnsi="Palatino Linotype"/>
          <w:sz w:val="20"/>
          <w:szCs w:val="20"/>
        </w:rPr>
        <w:t xml:space="preserve"> – podstawa z art. 6 ust. 1 lit. c RODO.</w:t>
      </w:r>
    </w:p>
    <w:p>
      <w:pPr>
        <w:pStyle w:val="Normal"/>
        <w:numPr>
          <w:ilvl w:val="0"/>
          <w:numId w:val="2"/>
        </w:numPr>
        <w:tabs>
          <w:tab w:val="clear" w:pos="708"/>
          <w:tab w:val="left" w:pos="223" w:leader="none"/>
        </w:tabs>
        <w:suppressAutoHyphens w:val="false"/>
        <w:ind w:hanging="193" w:left="193" w:right="0"/>
        <w:rPr>
          <w:rFonts w:ascii="Palatino Linotype" w:hAnsi="Palatino Linotype" w:cs="Palatino Linotype"/>
          <w:b/>
          <w:bCs/>
          <w:sz w:val="20"/>
          <w:szCs w:val="20"/>
          <w:lang w:eastAsia="pl-PL"/>
        </w:rPr>
      </w:pPr>
      <w:bookmarkEnd w:id="0"/>
      <w:r>
        <w:rPr>
          <w:rFonts w:cs="Palatino Linotype" w:ascii="Palatino Linotype" w:hAnsi="Palatino Linotype"/>
          <w:b/>
          <w:bCs/>
          <w:sz w:val="20"/>
          <w:szCs w:val="20"/>
          <w:lang w:eastAsia="pl-PL"/>
        </w:rPr>
        <w:t>Odbiorcy danych</w:t>
      </w:r>
    </w:p>
    <w:p>
      <w:pPr>
        <w:pStyle w:val="Normal"/>
        <w:suppressAutoHyphens w:val="false"/>
        <w:ind w:hanging="45" w:left="59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jako uczestnika postępowania o udzielenie zamówienia publicznego – będą udostępniane wyłącznie podmiotom uprawnionym do otrzymania Pani/Pana danych na podstawie obowiązujących przepisów prawa, a w szczególności: </w:t>
      </w:r>
    </w:p>
    <w:p>
      <w:pPr>
        <w:pStyle w:val="Normal"/>
        <w:tabs>
          <w:tab w:val="clear" w:pos="708"/>
          <w:tab w:val="left" w:pos="832" w:leader="none"/>
          <w:tab w:val="left" w:pos="906" w:leader="none"/>
        </w:tabs>
        <w:suppressAutoHyphens w:val="false"/>
        <w:ind w:hanging="416"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ab/>
        <w:tab/>
        <w:t>uczestnikom postępowania o udzielenie zamówienia publicznego – dane wykonawcy zgodnie z ustawą Prawo zamówień publicznych,</w:t>
      </w:r>
    </w:p>
    <w:p>
      <w:pPr>
        <w:pStyle w:val="Normal"/>
        <w:suppressAutoHyphens w:val="false"/>
        <w:ind w:hanging="371"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na stronie internetowej Administratora – dane wykonawcy zgodnie z ustawą Prawo zamówień publicznych,</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osobom uczestniczącym w procesie realizacji projektu,</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d)   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 przypadku zawarcia z Panią/Panem umowy w sprawie zamówienia publicznego –będą udostępnione:</w:t>
      </w:r>
    </w:p>
    <w:p>
      <w:pPr>
        <w:pStyle w:val="Normal"/>
        <w:suppressAutoHyphens w:val="false"/>
        <w:ind w:hanging="356"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podmiotom uprawnionym do otrzymania Pani/Pana danych na podstawie obowiązujących przepisów prawa – w tym dane osobowe zawarte w ogłoszeniu o udzieleniu zamówienia – dane wykonawcy zgodnie z ustawą Prawo zamówień publicznych,</w:t>
      </w:r>
    </w:p>
    <w:p>
      <w:pPr>
        <w:pStyle w:val="Normal"/>
        <w:suppressAutoHyphens w:val="false"/>
        <w:ind w:hanging="312" w:left="92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w:t>
        <w:tab/>
        <w:t>innym osobom zaangażowanym w realizację szkolenia specjalizacyjnego, w tym kierownikom naukowemu, merytorycznemu, specjalizacji, uczestnikom szkolenia specjalizacyjnego – w przypadku gdy wykonawca osobiście realizuje usługi objęte przedmiotem zamówienia.</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Ponadto Pani/Pana dane osobowe zostaną także udostępnione:</w:t>
      </w:r>
    </w:p>
    <w:p>
      <w:pPr>
        <w:pStyle w:val="Normal"/>
        <w:suppressAutoHyphens w:val="false"/>
        <w:ind w:hanging="342"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podmiotom uprawnionym do otrzymania Pani/Pana danych na podstawie obowiązujących przepisów prawa – w tym dane osobowe zawarte w dokumentacji postępowania o udzielenie zamówienia publicznego zgodnie z ustawą Prawo zamówień publicznych oraz dane osobowe zawarte w umowie w sprawie zamówienia publicznego zgodnie z przepisami o dostępie do informacji publicznej,</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podmiotom przetwarzającym, które świadczą nam usługi prawnicze,</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c)podmiotom wykonującym zadania związane z realizacją Projektu, w szczególności podmiotom realizującym na zlecenie Instytucji Zarządzającej, Instytucji Pośredniczącej lub Administratora badania ewaluacyjne, kontrole i audyt w ramach FERS,</w:t>
      </w:r>
    </w:p>
    <w:p>
      <w:pPr>
        <w:pStyle w:val="Normal"/>
        <w:suppressAutoHyphens w:val="false"/>
        <w:ind w:hanging="297"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podmiotom przetwarzającym, które wspierają nas systemami teleinformatycznymi oraz dostarczają nam i obsługują nasze systemy informatyczne lub oprogramowanie wykorzystywane do właściwej realizacji świadczonej usługi.</w:t>
      </w:r>
    </w:p>
    <w:p>
      <w:pPr>
        <w:pStyle w:val="Normal"/>
        <w:numPr>
          <w:ilvl w:val="0"/>
          <w:numId w:val="2"/>
        </w:numPr>
        <w:suppressAutoHyphens w:val="false"/>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Przekazywanie danych do państw trzecich lub organizacji międzynarodowych</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Nie przekazujemy Pani/Pana danych poza teren Europejskiego Obszaru Gospodarczego. </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Jednakże w przypadku gdy wykonawca osobiście prowadzi zajęcia dydaktyczne w formie online,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w:t>
      </w:r>
    </w:p>
    <w:p>
      <w:pPr>
        <w:pStyle w:val="Normal"/>
        <w:numPr>
          <w:ilvl w:val="0"/>
          <w:numId w:val="3"/>
        </w:numPr>
        <w:suppressAutoHyphens w:val="false"/>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Okres przechowywania danych</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treści umowy w sprawie zamówienia publicznego – będą przechowywane:</w:t>
      </w:r>
    </w:p>
    <w:p>
      <w:pPr>
        <w:pStyle w:val="Normal"/>
        <w:suppressAutoHyphens w:val="false"/>
        <w:ind w:hanging="193"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przez okres 5 lat od początku roku następującego po roku obrotowym, w którym zakończono wykonanie umowy, zgodnie zobowiązującymi przepisami o rachunkowości, albo </w:t>
      </w:r>
    </w:p>
    <w:p>
      <w:pPr>
        <w:pStyle w:val="Normal"/>
        <w:suppressAutoHyphens w:val="false"/>
        <w:ind w:hanging="238" w:left="104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przez okres 10 lat od końca roku kalendarzowego, w którym zakończono wykonanie umowy, jeżeli umowa podlega przepisom o ubezpieczeniach społecznych lub podlega przepisom o emeryturach i rentach.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wizerunek i głos utrwalony na nagraniu szkolenia w przypadku gdy wykonawca osobiście prowadzi szkolenia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umowie w sprawie zamówienia publicznego oraz w dokumentacji związanej z realizacją tej umowy – będą przechowywane przez okres 25 lat czyli czas niezbędny do realizacji zadań wynikających z celów wskazanych w pkt III lit. c, a następnie, jeśli chodzi o materiały archiwalne, zgodnie z przepisami wewnętrznymi obowiązującymi w SPZOZ w Łodzi.</w:t>
      </w:r>
    </w:p>
    <w:p>
      <w:pPr>
        <w:pStyle w:val="Normal"/>
        <w:numPr>
          <w:ilvl w:val="0"/>
          <w:numId w:val="3"/>
        </w:numPr>
        <w:suppressAutoHyphens w:val="false"/>
        <w:ind w:firstLine="163" w:left="0"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Pani/Pana prawa</w:t>
      </w:r>
    </w:p>
    <w:p>
      <w:pPr>
        <w:pStyle w:val="Normal"/>
        <w:suppressAutoHyphens w:val="false"/>
        <w:ind w:firstLine="772" w:left="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Przysługuje Pani/Panu:</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ani zmianą umowy w zakresie niezgodnym z ustawą Prawo zamówień publicznych,</w:t>
      </w:r>
    </w:p>
    <w:p>
      <w:pPr>
        <w:pStyle w:val="Normal"/>
        <w:suppressAutoHyphens w:val="false"/>
        <w:spacing w:lineRule="atLeast" w:line="200"/>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prawo do usunięcia Pani/Pana danych osobowych – żądania od Administratora niezwłocznego usunięcia danych osobowych, jeżeli spełniona zostanie jedna z przesłanek określonych w art. 17 RODO, m.in. dane osobowe nie są już niezbędne do celów, w których zostały zebrane, przy czym prawo usunięcia danych może zostać ograniczone ze względu na obowiązki Administratora wynikające z obowiązującego prawa,</w:t>
      </w:r>
    </w:p>
    <w:p>
      <w:pPr>
        <w:pStyle w:val="ListParagraph"/>
        <w:keepNext w:val="true"/>
        <w:numPr>
          <w:ilvl w:val="0"/>
          <w:numId w:val="4"/>
        </w:numPr>
        <w:tabs>
          <w:tab w:val="clear" w:pos="708"/>
          <w:tab w:val="left" w:pos="1134" w:leader="none"/>
        </w:tabs>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ListParagraph"/>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e) prawo do przenoszenia Pani/Pana danych osobowych (dotyczy wyłącznie osoby, z którą zostanie zawarta umowa w sprawie zamówienia publicznego) – otrzymania zgodnie z art.20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ListParagraph"/>
        <w:spacing w:lineRule="atLeast" w:line="200" w:before="0" w:after="0"/>
        <w:ind w:hanging="0" w:left="84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f)prawo do wniesienia skargi do Prezesa Urzędu Ochrony Danych Osobowych lub innego właściwego organu nadzorczego zajmującego się ochroną danych osobowych zgodnie z art.77 RODO,</w:t>
      </w:r>
    </w:p>
    <w:p>
      <w:pPr>
        <w:pStyle w:val="ListParagraph"/>
        <w:spacing w:lineRule="atLeast" w:line="200" w:before="0" w:after="0"/>
        <w:ind w:hanging="0" w:left="86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g) prawo do cofnięcia zgody na przetwarzanie danych osobowych zgodnie z art. 7 ust. 3 RODO (w zakresie wizerunku wykonawcy, w przypadku gdy wykonawca osobiście prowadzi zajęcia dydaktyczne w formie online).W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VIII. Obowiązek podania danych</w:t>
      </w:r>
    </w:p>
    <w:p>
      <w:pPr>
        <w:pStyle w:val="ListParagraph"/>
        <w:spacing w:lineRule="atLeast" w:line="200" w:before="0" w:after="0"/>
        <w:ind w:firstLine="30" w:left="832"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Podanie przez Panią/Pana danych osobowych jest wymagane ustawą Prawo zamówień publicznych w celu przeprowadzenia i rozstrzygnięcia postępowania o udzielenie zamówienia publicznego oraz w celu zawarcia umowy i wykonania jej postanowień. Konsekwencją niepodania danych osobowych wymaganych ustawą Prawo zamówień publicznych jest brak możliwości uczestniczenia w postępowaniu o udzielenie zamówienia publicznego. Wyrażenie zgody na nagranie i rozpowszechnianie wizerunku jest dobrowolne (w przypadku gdy wykonawca osobiście prowadzi zajęcia dydaktyczne).</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 xml:space="preserve">IX. Informacje o zautomatyzowanym podejmowaniu decyzji, w tym profilowaniu </w:t>
      </w:r>
    </w:p>
    <w:p>
      <w:pPr>
        <w:pStyle w:val="ListParagraph"/>
        <w:spacing w:lineRule="atLeast" w:line="200" w:before="0" w:after="0"/>
        <w:ind w:firstLine="36" w:left="709"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nie będą podlegały zautomatyzowanemu podejmowaniu decyzji, w tym profilowaniu.</w:t>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egoe UI">
    <w:charset w:val="ee"/>
    <w:family w:val="roman"/>
    <w:pitch w:val="variable"/>
  </w:font>
  <w:font w:name="OpenSymbol">
    <w:altName w:val="Arial Unicode MS"/>
    <w:charset w:val="ee"/>
    <w:family w:val="roman"/>
    <w:pitch w:val="variable"/>
  </w:font>
  <w:font w:name="Arial">
    <w:charset w:val="ee"/>
    <w:family w:val="roman"/>
    <w:pitch w:val="variable"/>
  </w:font>
  <w:font w:name="Tahoma">
    <w:charset w:val="ee"/>
    <w:family w:val="roman"/>
    <w:pitch w:val="variable"/>
  </w:font>
  <w:font w:name="Courier New">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right="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szCs w:val="20"/>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4"/>
      <w:numFmt w:val="upperRoman"/>
      <w:lvlText w:val="%1."/>
      <w:lvlJc w:val="left"/>
      <w:pPr>
        <w:tabs>
          <w:tab w:val="num" w:pos="720"/>
        </w:tabs>
        <w:ind w:left="720" w:hanging="360"/>
      </w:pPr>
      <w:rPr>
        <w:sz w:val="20"/>
        <w:b/>
        <w:szCs w:val="20"/>
        <w:bCs/>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6"/>
      <w:numFmt w:val="upperRoman"/>
      <w:lvlText w:val="%1."/>
      <w:lvlJc w:val="left"/>
      <w:pPr>
        <w:tabs>
          <w:tab w:val="num" w:pos="720"/>
        </w:tabs>
        <w:ind w:left="720" w:hanging="360"/>
      </w:pPr>
      <w:rPr>
        <w:sz w:val="20"/>
        <w:b/>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500"/>
      <w:numFmt w:val="lowerRoman"/>
      <w:lvlText w:val="%1)"/>
      <w:lvlJc w:val="left"/>
      <w:pPr>
        <w:tabs>
          <w:tab w:val="num" w:pos="720"/>
        </w:tabs>
        <w:ind w:left="720" w:hanging="360"/>
      </w:pPr>
      <w:rPr>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sz w:val="20"/>
      <w:szCs w:val="20"/>
    </w:rPr>
  </w:style>
  <w:style w:type="character" w:styleId="WW8Num2z0">
    <w:name w:val="WW8Num2z0"/>
    <w:qFormat/>
    <w:rPr>
      <w:rFonts w:ascii="Palatino Linotype" w:hAnsi="Palatino Linotype" w:cs="Times New Roman"/>
      <w:b/>
      <w:bCs/>
      <w:sz w:val="20"/>
      <w:szCs w:val="20"/>
    </w:rPr>
  </w:style>
  <w:style w:type="character" w:styleId="WW8Num3z0">
    <w:name w:val="WW8Num3z0"/>
    <w:qFormat/>
    <w:rPr>
      <w:rFonts w:ascii="Palatino Linotype" w:hAnsi="Palatino Linotype" w:cs="Palatino Linotype"/>
      <w:b/>
      <w:sz w:val="20"/>
      <w:szCs w:val="20"/>
    </w:rPr>
  </w:style>
  <w:style w:type="character" w:styleId="WW8Num4z0">
    <w:name w:val="WW8Num4z0"/>
    <w:qFormat/>
    <w:rPr>
      <w:rFonts w:ascii="Palatino Linotype" w:hAnsi="Palatino Linotype" w:cs="Palatino Linotype"/>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Znakinumeracji">
    <w:name w:val="Znaki numeracji"/>
    <w:qFormat/>
    <w:rPr>
      <w:rFonts w:ascii="Palatino Linotype" w:hAnsi="Palatino Linotype" w:cs="Palatino Linotype"/>
      <w:sz w:val="20"/>
      <w:szCs w:val="20"/>
    </w:rPr>
  </w:style>
  <w:style w:type="character" w:styleId="Odwoanieprzypisukocowego1">
    <w:name w:val="Odwołanie przypisu końcowego1"/>
    <w:qFormat/>
    <w:rPr>
      <w:vertAlign w:val="superscript"/>
    </w:rPr>
  </w:style>
  <w:style w:type="character" w:styleId="Odwoanieprzypisudolnego1">
    <w:name w:val="Odwołanie przypisu dolnego1"/>
    <w:qFormat/>
    <w:rPr>
      <w:vertAlign w:val="superscript"/>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12z5">
    <w:name w:val="WW8Num12z5"/>
    <w:qFormat/>
    <w:rPr>
      <w:rFonts w:ascii="Palatino Linotype" w:hAnsi="Palatino Linotype" w:cs="Palatino Linotype"/>
      <w:sz w:val="20"/>
      <w:szCs w:val="20"/>
    </w:rPr>
  </w:style>
  <w:style w:type="character" w:styleId="WW8Num8z3">
    <w:name w:val="WW8Num8z3"/>
    <w:qFormat/>
    <w:rPr>
      <w:rFonts w:cs="Times New Roman"/>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8z2">
    <w:name w:val="WW8Num8z2"/>
    <w:qFormat/>
    <w:rPr>
      <w:rFonts w:ascii="Palatino Linotype" w:hAnsi="Palatino Linotype" w:cs="Times New Roman"/>
      <w:b w:val="false"/>
      <w:i w:val="false"/>
      <w:sz w:val="20"/>
      <w:szCs w:val="20"/>
      <w:lang w:bidi="he-IL"/>
    </w:rPr>
  </w:style>
  <w:style w:type="character" w:styleId="WW8Num8z1">
    <w:name w:val="WW8Num8z1"/>
    <w:qFormat/>
    <w:rPr>
      <w:rFonts w:cs="Times New Roman"/>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character" w:styleId="WW8Num8z0">
    <w:name w:val="WW8Num8z0"/>
    <w:qFormat/>
    <w:rPr>
      <w:rFonts w:ascii="Times New Roman" w:hAnsi="Times New Roman" w:eastAsia="Calibri" w:cs="Times New Roman"/>
      <w:iCs/>
      <w:color w:val="000000"/>
      <w:sz w:val="20"/>
      <w:szCs w:val="20"/>
      <w:shd w:fill="FFFFFF" w:val="clear"/>
      <w:lang w:eastAsia="he-IL" w:bidi="he-IL"/>
    </w:rPr>
  </w:style>
  <w:style w:type="character" w:styleId="WW8Num7z2">
    <w:name w:val="WW8Num7z2"/>
    <w:qFormat/>
    <w:rPr>
      <w:rFonts w:ascii="Palatino Linotype" w:hAnsi="Palatino Linotype" w:cs="Times New Roman"/>
      <w:b w:val="false"/>
      <w:i w:val="false"/>
      <w:sz w:val="20"/>
      <w:szCs w:val="20"/>
      <w:lang w:bidi="he-IL"/>
    </w:rPr>
  </w:style>
  <w:style w:type="character" w:styleId="WW8Num7z1">
    <w:name w:val="WW8Num7z1"/>
    <w:qFormat/>
    <w:rPr>
      <w:rFonts w:cs="Times New Roman"/>
    </w:rPr>
  </w:style>
  <w:style w:type="character" w:styleId="WW8Num7z0">
    <w:name w:val="WW8Num7z0"/>
    <w:qFormat/>
    <w:rPr>
      <w:rFonts w:ascii="Palatino Linotype" w:hAnsi="Palatino Linotype" w:eastAsia="Times New Roman" w:cs="Times New Roman"/>
      <w:color w:val="000000"/>
      <w:kern w:val="2"/>
      <w:sz w:val="20"/>
      <w:szCs w:val="20"/>
      <w:lang w:val="en-US"/>
    </w:rPr>
  </w:style>
  <w:style w:type="character" w:styleId="WW8Num6z3">
    <w:name w:val="WW8Num6z3"/>
    <w:qFormat/>
    <w:rPr>
      <w:rFonts w:cs="Times New Roman"/>
    </w:rPr>
  </w:style>
  <w:style w:type="character" w:styleId="WW8Num6z2">
    <w:name w:val="WW8Num6z2"/>
    <w:qFormat/>
    <w:rPr>
      <w:rFonts w:ascii="Palatino Linotype" w:hAnsi="Palatino Linotype" w:cs="Times New Roman"/>
      <w:b w:val="false"/>
      <w:i w:val="false"/>
      <w:sz w:val="20"/>
      <w:szCs w:val="20"/>
      <w:lang w:bidi="he-IL"/>
    </w:rPr>
  </w:style>
  <w:style w:type="character" w:styleId="WW8Num6z0">
    <w:name w:val="WW8Num6z0"/>
    <w:qFormat/>
    <w:rPr>
      <w:rFonts w:ascii="Palatino Linotype" w:hAnsi="Palatino Linotype" w:eastAsia="Calibri" w:cs="Times New Roman"/>
      <w:color w:val="000000"/>
      <w:sz w:val="20"/>
      <w:szCs w:val="20"/>
      <w:shd w:fill="FFFFFF" w:val="clear"/>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ind w:hanging="0" w:left="0" w:right="0"/>
    </w:pPr>
    <w:rPr>
      <w:rFonts w:ascii="Calibri" w:hAnsi="Calibri" w:cs="Arial"/>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Tekstdymka">
    <w:name w:val="Tekst dymka"/>
    <w:basedOn w:val="Normal"/>
    <w:qFormat/>
    <w:pPr/>
    <w:rPr>
      <w:rFonts w:ascii="Tahoma" w:hAnsi="Tahoma" w:cs="Tahoma"/>
      <w:sz w:val="16"/>
      <w:szCs w:val="20"/>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14</TotalTime>
  <Application>LibreOffice/24.2.3.2$Windows_X86_64 LibreOffice_project/433d9c2ded56988e8a90e6b2e771ee4e6a5ab2ba</Application>
  <AppVersion>15.0000</AppVersion>
  <Pages>3</Pages>
  <Words>1352</Words>
  <Characters>9215</Characters>
  <CharactersWithSpaces>10555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dcterms:modified xsi:type="dcterms:W3CDTF">2026-03-04T08:55:30Z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